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FB6" w:rsidRPr="0030410C" w:rsidRDefault="00F95FB6" w:rsidP="00F95FB6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30410C">
        <w:rPr>
          <w:rFonts w:ascii="Arial" w:hAnsi="Arial" w:cs="Arial"/>
          <w:sz w:val="20"/>
          <w:szCs w:val="20"/>
        </w:rPr>
        <w:t>Appendix 1 Associations between frailty and risk of readmission by controlling for patient demographic and health characteristics</w:t>
      </w:r>
    </w:p>
    <w:p w:rsidR="00F95FB6" w:rsidRPr="0030410C" w:rsidRDefault="00F95FB6" w:rsidP="00F95FB6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073"/>
        <w:gridCol w:w="2160"/>
      </w:tblGrid>
      <w:tr w:rsidR="00F95FB6" w:rsidRPr="0030410C" w:rsidTr="005F256B"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Independent variable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Overall readmission HR (95% CI)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30-day readmission HR (95% CI)</w:t>
            </w:r>
          </w:p>
        </w:tc>
      </w:tr>
      <w:tr w:rsidR="00F95FB6" w:rsidRPr="0030410C" w:rsidTr="005F256B"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Frailty risk score range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&lt;5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1.27 (1.25, 1.29)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1.28 (1.25, 1.31)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5-15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1.47 (1.44, 1.49)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1.49 (1.45, 1.52)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&gt;15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1.42 (1.39, 1.48)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1.49 (1.44, 1.53)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Age (years)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65-74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75+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1.04 (1.03, 1.05)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1.01 (1.00, 1.02)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r w:rsidRPr="0030410C">
              <w:t>Gender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</w:pPr>
            <w:r w:rsidRPr="0030410C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</w:pPr>
            <w:r w:rsidRPr="0030410C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1.04 (1.03, 1.05)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1.01 (1.00, 1.02)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r w:rsidRPr="0030410C">
              <w:t>Primary payer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</w:pPr>
            <w:r w:rsidRPr="0030410C">
              <w:rPr>
                <w:rFonts w:ascii="Arial" w:hAnsi="Arial" w:cs="Arial"/>
                <w:sz w:val="20"/>
                <w:szCs w:val="20"/>
              </w:rPr>
              <w:t>Medicare</w:t>
            </w:r>
            <w:r w:rsidRPr="0030410C">
              <w:t>/Medicaid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 xml:space="preserve">1.00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</w:pPr>
            <w:r w:rsidRPr="0030410C">
              <w:rPr>
                <w:rFonts w:ascii="Arial" w:hAnsi="Arial" w:cs="Arial"/>
                <w:sz w:val="20"/>
                <w:szCs w:val="20"/>
              </w:rPr>
              <w:t>Private</w:t>
            </w:r>
            <w:r w:rsidRPr="0030410C">
              <w:t xml:space="preserve"> and other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0.86 (0.85, 0.88)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0.87 (0.85, 0.88)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r w:rsidRPr="0030410C">
              <w:t>Median household Income quartile ($)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</w:pPr>
            <w:r w:rsidRPr="0030410C">
              <w:t>1-</w:t>
            </w:r>
            <w:r w:rsidRPr="0030410C">
              <w:rPr>
                <w:rFonts w:ascii="Arial" w:hAnsi="Arial" w:cs="Arial"/>
                <w:sz w:val="20"/>
                <w:szCs w:val="20"/>
              </w:rPr>
              <w:t>42</w:t>
            </w:r>
            <w:r w:rsidRPr="0030410C">
              <w:t>,999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</w:pPr>
            <w:r w:rsidRPr="0030410C">
              <w:t>43,</w:t>
            </w:r>
            <w:r w:rsidRPr="0030410C">
              <w:rPr>
                <w:rFonts w:ascii="Arial" w:hAnsi="Arial" w:cs="Arial"/>
                <w:sz w:val="20"/>
                <w:szCs w:val="20"/>
              </w:rPr>
              <w:t>000</w:t>
            </w:r>
            <w:r w:rsidRPr="0030410C">
              <w:t>-53,999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0.94 (0.93, 0.95)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0.93 (0.92, 0.95)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</w:pPr>
            <w:r w:rsidRPr="0030410C">
              <w:t>54,</w:t>
            </w:r>
            <w:r w:rsidRPr="0030410C">
              <w:rPr>
                <w:rFonts w:ascii="Arial" w:hAnsi="Arial" w:cs="Arial"/>
                <w:sz w:val="20"/>
                <w:szCs w:val="20"/>
              </w:rPr>
              <w:t>000</w:t>
            </w:r>
            <w:r w:rsidRPr="0030410C">
              <w:t>-70,999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0.90 (0.89, 0.91)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0.89 (0.88, 0.90)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</w:pPr>
            <w:r w:rsidRPr="0030410C">
              <w:t>71,</w:t>
            </w:r>
            <w:r w:rsidRPr="0030410C">
              <w:rPr>
                <w:rFonts w:ascii="Arial" w:hAnsi="Arial" w:cs="Arial"/>
                <w:sz w:val="20"/>
                <w:szCs w:val="20"/>
              </w:rPr>
              <w:t>000</w:t>
            </w:r>
            <w:r w:rsidRPr="0030410C">
              <w:t>+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0.88 (0.86, 0.89)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0.87 (0.86, 0.88)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r w:rsidRPr="0030410C">
              <w:t>Location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</w:pPr>
            <w:r w:rsidRPr="0030410C">
              <w:rPr>
                <w:rFonts w:ascii="Arial" w:hAnsi="Arial" w:cs="Arial"/>
                <w:sz w:val="20"/>
                <w:szCs w:val="20"/>
              </w:rPr>
              <w:t>Metropolitan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</w:pPr>
            <w:r w:rsidRPr="0030410C">
              <w:t>Non-metropolitan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0.89 (0.88, 0.90)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0.88 (0.87, 0.90)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r w:rsidRPr="0030410C">
              <w:t>Loss of function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</w:pPr>
            <w:r w:rsidRPr="0030410C">
              <w:rPr>
                <w:rFonts w:ascii="Arial" w:hAnsi="Arial" w:cs="Arial"/>
                <w:sz w:val="20"/>
                <w:szCs w:val="20"/>
              </w:rPr>
              <w:t>Minor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</w:pPr>
            <w:r w:rsidRPr="0030410C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1.40 (1.38, 1.42)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1.46 (1.43, 1.49)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</w:pPr>
            <w:r w:rsidRPr="0030410C">
              <w:rPr>
                <w:rFonts w:ascii="Arial" w:hAnsi="Arial" w:cs="Arial"/>
                <w:sz w:val="20"/>
                <w:szCs w:val="20"/>
              </w:rPr>
              <w:t>Major</w:t>
            </w:r>
            <w:r w:rsidRPr="0030410C">
              <w:t xml:space="preserve"> - extreme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1.81 (1.78, 1.83)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2.07 (2.03, 2.11)</w:t>
            </w:r>
          </w:p>
        </w:tc>
      </w:tr>
    </w:tbl>
    <w:p w:rsidR="00F95FB6" w:rsidRPr="0030410C" w:rsidRDefault="00F95FB6" w:rsidP="00F95FB6">
      <w:pPr>
        <w:rPr>
          <w:rFonts w:ascii="Arial" w:hAnsi="Arial" w:cs="Arial"/>
          <w:sz w:val="20"/>
          <w:szCs w:val="20"/>
        </w:rPr>
      </w:pPr>
      <w:r w:rsidRPr="0030410C">
        <w:rPr>
          <w:rFonts w:ascii="Arial" w:hAnsi="Arial" w:cs="Arial"/>
          <w:sz w:val="20"/>
          <w:szCs w:val="20"/>
        </w:rPr>
        <w:t xml:space="preserve">CI: confidence interval; HR: hazard ratio </w:t>
      </w:r>
      <w:r w:rsidRPr="0030410C">
        <w:rPr>
          <w:rFonts w:ascii="Arial" w:hAnsi="Arial" w:cs="Arial"/>
          <w:sz w:val="20"/>
          <w:szCs w:val="20"/>
        </w:rPr>
        <w:br w:type="page"/>
      </w:r>
    </w:p>
    <w:p w:rsidR="00F95FB6" w:rsidRPr="0030410C" w:rsidRDefault="00F95FB6" w:rsidP="00F95FB6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30410C">
        <w:rPr>
          <w:rFonts w:ascii="Arial" w:hAnsi="Arial" w:cs="Arial"/>
          <w:sz w:val="20"/>
          <w:szCs w:val="20"/>
        </w:rPr>
        <w:lastRenderedPageBreak/>
        <w:t>Appendix 2 Associations between frailty and risks of in-hospitalization mortality by controlling for patient demographic and health characteristics</w:t>
      </w:r>
    </w:p>
    <w:p w:rsidR="00F95FB6" w:rsidRPr="0030410C" w:rsidRDefault="00F95FB6" w:rsidP="00F95FB6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8"/>
        <w:gridCol w:w="2338"/>
        <w:gridCol w:w="2338"/>
      </w:tblGrid>
      <w:tr w:rsidR="00F95FB6" w:rsidRPr="0030410C" w:rsidTr="005F256B"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Independent variable</w:t>
            </w:r>
          </w:p>
        </w:tc>
        <w:tc>
          <w:tcPr>
            <w:tcW w:w="7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In-hospital mortality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Index OR (95% CI)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Overall readmission HR (95% CI)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30-day readmission HR (95% CI)</w:t>
            </w:r>
          </w:p>
        </w:tc>
      </w:tr>
      <w:tr w:rsidR="00F95FB6" w:rsidRPr="0030410C" w:rsidTr="005F256B"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Frailty risk score range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&lt;5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1.02 (0.91, 1.15)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1.59 (1.48, 1.71)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1.65 (1.50, 1.82)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5-15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2.31 (2.06, 2.58)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2.15 (2.01, 2.30)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2.26 (2.05, 2.49)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&gt;15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3.44 (3.06, 3.87)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2.44 (2.25, 2.63)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2.68 (2.41, 2.98)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Age (years)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65-74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75+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1.44 (1.40, 1.49)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1.33 (1.30, 1.36)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1.28 (1.24, 1.32)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r w:rsidRPr="0030410C">
              <w:t>Gender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</w:pPr>
            <w:r w:rsidRPr="0030410C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</w:pPr>
            <w:r w:rsidRPr="0030410C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0.89 (0.87, 0.92)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0.91 (0.89, 0.92)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0.88 (0.86, 0.91)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r w:rsidRPr="0030410C">
              <w:t>Primary payer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</w:pPr>
            <w:r w:rsidRPr="0030410C">
              <w:rPr>
                <w:rFonts w:ascii="Arial" w:hAnsi="Arial" w:cs="Arial"/>
                <w:sz w:val="20"/>
                <w:szCs w:val="20"/>
              </w:rPr>
              <w:t>Medicare</w:t>
            </w:r>
            <w:r w:rsidRPr="0030410C">
              <w:t>/Medicaid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 xml:space="preserve">1.00 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</w:pPr>
            <w:r w:rsidRPr="0030410C">
              <w:t>Private and other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1.12 (1.06, 1.19)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0.90 (0.86, 0.94)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0.88 (0.83, 0.94)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Median household Income quartile ($)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1-42,999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</w:pPr>
            <w:r w:rsidRPr="0030410C">
              <w:t>43,</w:t>
            </w:r>
            <w:r w:rsidRPr="0030410C">
              <w:rPr>
                <w:rFonts w:ascii="Arial" w:hAnsi="Arial" w:cs="Arial"/>
                <w:sz w:val="20"/>
                <w:szCs w:val="20"/>
              </w:rPr>
              <w:t>000</w:t>
            </w:r>
            <w:r w:rsidRPr="0030410C">
              <w:t>-53,999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 (0.96, 1.05)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0.94 (0.92, 0.97)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0.94 (0.91, 0.98)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</w:pPr>
            <w:r w:rsidRPr="0030410C">
              <w:t>54,000-70,999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0.96 (0.91, 1.00)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0.90 (0.87, 0.92)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0.89 (0.86, 0.93)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</w:pPr>
            <w:r w:rsidRPr="0030410C">
              <w:t>71,</w:t>
            </w:r>
            <w:r w:rsidRPr="0030410C">
              <w:rPr>
                <w:rFonts w:ascii="Arial" w:hAnsi="Arial" w:cs="Arial"/>
                <w:sz w:val="20"/>
                <w:szCs w:val="20"/>
              </w:rPr>
              <w:t>000</w:t>
            </w:r>
            <w:r w:rsidRPr="0030410C">
              <w:t>+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0.97 (0.92, 1.03)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0.89 (0.87, 0.92)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0.89 (0.86, 0.93)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r w:rsidRPr="0030410C">
              <w:t>Location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</w:pPr>
            <w:r w:rsidRPr="0030410C">
              <w:rPr>
                <w:rFonts w:ascii="Arial" w:hAnsi="Arial" w:cs="Arial"/>
                <w:sz w:val="20"/>
                <w:szCs w:val="20"/>
              </w:rPr>
              <w:t>Metropolitan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</w:pPr>
            <w:r w:rsidRPr="0030410C">
              <w:t>Non-</w:t>
            </w:r>
            <w:r w:rsidRPr="0030410C">
              <w:rPr>
                <w:rFonts w:ascii="Arial" w:hAnsi="Arial" w:cs="Arial"/>
                <w:sz w:val="20"/>
                <w:szCs w:val="20"/>
              </w:rPr>
              <w:t>metropolitan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1.16 (1.11, 1.22)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0.93 (0.90, 0.96)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0.89 (0.85, 0.93)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r w:rsidRPr="0030410C">
              <w:t>Loss of function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</w:pPr>
            <w:r w:rsidRPr="0030410C">
              <w:rPr>
                <w:rFonts w:ascii="Arial" w:hAnsi="Arial" w:cs="Arial"/>
                <w:sz w:val="20"/>
                <w:szCs w:val="20"/>
              </w:rPr>
              <w:t>Minor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</w:pPr>
            <w:r w:rsidRPr="0030410C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1.85 (1.60, 2.13)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1.87 (1.77, 1.98)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1.97 (1.82, 2.13)</w:t>
            </w:r>
          </w:p>
        </w:tc>
      </w:tr>
      <w:tr w:rsidR="00F95FB6" w:rsidRPr="0030410C" w:rsidTr="005F256B"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ind w:firstLine="165"/>
            </w:pPr>
            <w:r w:rsidRPr="0030410C">
              <w:t>Major - extreme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23.0 (20.1, 26.3)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3.57 (3.38, 3.77)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5FB6" w:rsidRPr="0030410C" w:rsidRDefault="00F95FB6" w:rsidP="005F25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10C">
              <w:rPr>
                <w:rFonts w:ascii="Arial" w:hAnsi="Arial" w:cs="Arial"/>
                <w:sz w:val="20"/>
                <w:szCs w:val="20"/>
              </w:rPr>
              <w:t>4.09 (3.78, 4.42)</w:t>
            </w:r>
          </w:p>
        </w:tc>
      </w:tr>
    </w:tbl>
    <w:p w:rsidR="00F95FB6" w:rsidRPr="0030410C" w:rsidRDefault="00F95FB6" w:rsidP="00F95FB6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30410C">
        <w:rPr>
          <w:rFonts w:ascii="Arial" w:hAnsi="Arial" w:cs="Arial"/>
          <w:sz w:val="20"/>
          <w:szCs w:val="20"/>
        </w:rPr>
        <w:t>CI: confidence interval; HR: hazard ratio; OR: odds ratio</w:t>
      </w:r>
    </w:p>
    <w:p w:rsidR="00F95FB6" w:rsidRPr="0030410C" w:rsidRDefault="00F95FB6" w:rsidP="00F95FB6"/>
    <w:p w:rsidR="00F95FB6" w:rsidRPr="0030410C" w:rsidRDefault="00F95FB6" w:rsidP="00F95FB6"/>
    <w:p w:rsidR="00F95FB6" w:rsidRPr="0030410C" w:rsidRDefault="00F95FB6" w:rsidP="00F95FB6">
      <w:pPr>
        <w:rPr>
          <w:rFonts w:ascii="Arial" w:hAnsi="Arial" w:cs="Arial"/>
          <w:sz w:val="20"/>
          <w:szCs w:val="20"/>
        </w:rPr>
      </w:pPr>
    </w:p>
    <w:p w:rsidR="00F95FB6" w:rsidRPr="0030410C" w:rsidRDefault="00F95FB6" w:rsidP="00F95FB6">
      <w:pPr>
        <w:spacing w:after="0" w:line="480" w:lineRule="auto"/>
        <w:rPr>
          <w:rFonts w:ascii="Arial" w:hAnsi="Arial" w:cs="Arial"/>
        </w:rPr>
      </w:pPr>
    </w:p>
    <w:p w:rsidR="00F95FB6" w:rsidRPr="0030410C" w:rsidRDefault="00F95FB6" w:rsidP="00F95FB6">
      <w:pPr>
        <w:spacing w:after="0" w:line="480" w:lineRule="auto"/>
        <w:rPr>
          <w:rFonts w:ascii="Arial" w:hAnsi="Arial" w:cs="Arial"/>
        </w:rPr>
      </w:pPr>
    </w:p>
    <w:p w:rsidR="00F95FB6" w:rsidRPr="0030410C" w:rsidRDefault="00F95FB6" w:rsidP="00F95FB6">
      <w:pPr>
        <w:spacing w:after="0" w:line="480" w:lineRule="auto"/>
        <w:rPr>
          <w:rFonts w:ascii="Arial" w:hAnsi="Arial" w:cs="Arial"/>
        </w:rPr>
      </w:pPr>
    </w:p>
    <w:p w:rsidR="00355750" w:rsidRDefault="00355750">
      <w:bookmarkStart w:id="0" w:name="_GoBack"/>
      <w:bookmarkEnd w:id="0"/>
    </w:p>
    <w:sectPr w:rsidR="003557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FB6"/>
    <w:rsid w:val="00355750"/>
    <w:rsid w:val="00F9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778664-B65B-4378-9158-0990C45E9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F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5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Davis-Ajami, Mary Lynn</dc:creator>
  <cp:keywords/>
  <dc:description/>
  <cp:lastModifiedBy>Davis-Ajami, Mary Lynn</cp:lastModifiedBy>
  <cp:revision>1</cp:revision>
  <dcterms:created xsi:type="dcterms:W3CDTF">2019-12-19T23:26:00Z</dcterms:created>
  <dcterms:modified xsi:type="dcterms:W3CDTF">2019-12-19T23:28:00Z</dcterms:modified>
</cp:coreProperties>
</file>